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095A" w14:textId="77777777" w:rsidR="00C80504" w:rsidRPr="0057399A" w:rsidRDefault="00C04ECB">
      <w:pPr>
        <w:jc w:val="center"/>
        <w:rPr>
          <w:b/>
          <w:sz w:val="24"/>
          <w:szCs w:val="24"/>
        </w:rPr>
      </w:pPr>
      <w:r w:rsidRPr="0057399A">
        <w:rPr>
          <w:b/>
          <w:sz w:val="24"/>
          <w:szCs w:val="24"/>
        </w:rPr>
        <w:t xml:space="preserve">Création d’une revue pédagogique des langues anciennes en langue française </w:t>
      </w:r>
    </w:p>
    <w:p w14:paraId="055078C6" w14:textId="77777777" w:rsidR="00C80504" w:rsidRPr="0057399A" w:rsidRDefault="00C04ECB">
      <w:pPr>
        <w:jc w:val="center"/>
        <w:rPr>
          <w:sz w:val="24"/>
          <w:szCs w:val="24"/>
        </w:rPr>
      </w:pPr>
      <w:r w:rsidRPr="0057399A">
        <w:rPr>
          <w:sz w:val="24"/>
          <w:szCs w:val="24"/>
        </w:rPr>
        <w:t>Appel à contributions pour le premier numéro</w:t>
      </w:r>
    </w:p>
    <w:p w14:paraId="7B35E472" w14:textId="4DC0FA8B" w:rsidR="00C80504" w:rsidRDefault="00C80504">
      <w:pPr>
        <w:rPr>
          <w:sz w:val="24"/>
          <w:szCs w:val="24"/>
        </w:rPr>
      </w:pPr>
    </w:p>
    <w:p w14:paraId="7F58940A" w14:textId="77777777" w:rsidR="00C439C4" w:rsidRPr="0057399A" w:rsidRDefault="00C439C4">
      <w:pPr>
        <w:rPr>
          <w:sz w:val="24"/>
          <w:szCs w:val="24"/>
        </w:rPr>
      </w:pPr>
    </w:p>
    <w:p w14:paraId="5D89E32C" w14:textId="77777777" w:rsidR="00C80504" w:rsidRPr="0057399A" w:rsidRDefault="00C04ECB">
      <w:pPr>
        <w:pStyle w:val="Titre"/>
        <w:jc w:val="both"/>
        <w:rPr>
          <w:i/>
          <w:sz w:val="24"/>
          <w:szCs w:val="24"/>
        </w:rPr>
      </w:pPr>
      <w:bookmarkStart w:id="0" w:name="_mpf1j75ntdoi" w:colFirst="0" w:colLast="0"/>
      <w:bookmarkEnd w:id="0"/>
      <w:r w:rsidRPr="0057399A">
        <w:rPr>
          <w:i/>
          <w:sz w:val="24"/>
          <w:szCs w:val="24"/>
        </w:rPr>
        <w:t>Introduction</w:t>
      </w:r>
    </w:p>
    <w:p w14:paraId="0DDCEF45" w14:textId="4C362F82" w:rsidR="00C80504" w:rsidRPr="0057399A" w:rsidRDefault="00C04ECB">
      <w:pPr>
        <w:pStyle w:val="Titre"/>
        <w:jc w:val="both"/>
        <w:rPr>
          <w:sz w:val="24"/>
          <w:szCs w:val="24"/>
        </w:rPr>
      </w:pPr>
      <w:bookmarkStart w:id="1" w:name="_4l8weerx6uge" w:colFirst="0" w:colLast="0"/>
      <w:bookmarkEnd w:id="1"/>
      <w:r w:rsidRPr="0057399A">
        <w:rPr>
          <w:sz w:val="24"/>
          <w:szCs w:val="24"/>
        </w:rPr>
        <w:t xml:space="preserve">Le premier numéro de la </w:t>
      </w:r>
      <w:r w:rsidR="00F56A29" w:rsidRPr="0057399A">
        <w:rPr>
          <w:sz w:val="24"/>
          <w:szCs w:val="24"/>
        </w:rPr>
        <w:t>R</w:t>
      </w:r>
      <w:r w:rsidRPr="0057399A">
        <w:rPr>
          <w:sz w:val="24"/>
          <w:szCs w:val="24"/>
        </w:rPr>
        <w:t>evue de pédagogie des langues anciennes comportera un dossier thématique sur l</w:t>
      </w:r>
      <w:r w:rsidR="005771AB" w:rsidRPr="0057399A">
        <w:rPr>
          <w:sz w:val="24"/>
          <w:szCs w:val="24"/>
        </w:rPr>
        <w:t>es pratiques d’</w:t>
      </w:r>
      <w:r w:rsidRPr="0057399A">
        <w:rPr>
          <w:sz w:val="24"/>
          <w:szCs w:val="24"/>
        </w:rPr>
        <w:t>écriture en cours de langues anciennes</w:t>
      </w:r>
      <w:r w:rsidR="005771AB" w:rsidRPr="0057399A">
        <w:rPr>
          <w:sz w:val="24"/>
          <w:szCs w:val="24"/>
        </w:rPr>
        <w:t xml:space="preserve"> dans l’enseignement Secondaire et Supérieur</w:t>
      </w:r>
      <w:r w:rsidRPr="0057399A">
        <w:rPr>
          <w:sz w:val="24"/>
          <w:szCs w:val="24"/>
        </w:rPr>
        <w:t xml:space="preserve">. Il est également possible de proposer des contributions sur d’autres sujets qui prendront place dans une section intitulée </w:t>
      </w:r>
      <w:r w:rsidRPr="0057399A">
        <w:rPr>
          <w:i/>
          <w:sz w:val="24"/>
          <w:szCs w:val="24"/>
        </w:rPr>
        <w:t>Varia.</w:t>
      </w:r>
    </w:p>
    <w:p w14:paraId="6FD3ED33" w14:textId="77777777" w:rsidR="00C80504" w:rsidRPr="0057399A" w:rsidRDefault="00C80504">
      <w:pPr>
        <w:jc w:val="both"/>
        <w:rPr>
          <w:sz w:val="24"/>
          <w:szCs w:val="24"/>
        </w:rPr>
      </w:pPr>
    </w:p>
    <w:p w14:paraId="303FB424" w14:textId="77777777" w:rsidR="00C80504" w:rsidRPr="0057399A" w:rsidRDefault="00C04ECB">
      <w:pPr>
        <w:jc w:val="both"/>
        <w:rPr>
          <w:i/>
          <w:sz w:val="24"/>
          <w:szCs w:val="24"/>
        </w:rPr>
      </w:pPr>
      <w:r w:rsidRPr="0057399A">
        <w:rPr>
          <w:i/>
          <w:sz w:val="24"/>
          <w:szCs w:val="24"/>
        </w:rPr>
        <w:t>Présentation du thème principal de ce numéro</w:t>
      </w:r>
    </w:p>
    <w:p w14:paraId="16EE913D" w14:textId="494AAB44" w:rsidR="00C80504" w:rsidRPr="0057399A" w:rsidRDefault="00C04ECB">
      <w:pPr>
        <w:jc w:val="both"/>
        <w:rPr>
          <w:sz w:val="24"/>
          <w:szCs w:val="24"/>
        </w:rPr>
      </w:pPr>
      <w:r w:rsidRPr="0057399A">
        <w:rPr>
          <w:sz w:val="24"/>
          <w:szCs w:val="24"/>
        </w:rPr>
        <w:t xml:space="preserve">Écriture et lecture sont deux activités majeures de l’enseignement des </w:t>
      </w:r>
      <w:r w:rsidR="00F56A29" w:rsidRPr="0057399A">
        <w:rPr>
          <w:sz w:val="24"/>
          <w:szCs w:val="24"/>
        </w:rPr>
        <w:t>langues anciennes.</w:t>
      </w:r>
      <w:r w:rsidRPr="0057399A">
        <w:rPr>
          <w:sz w:val="24"/>
          <w:szCs w:val="24"/>
        </w:rPr>
        <w:t xml:space="preserve"> Si la lecture et l’oralisation des textes ont fait récemment l’objet de plusieurs journées d’études et publications pédagogiques</w:t>
      </w:r>
      <w:r w:rsidRPr="0057399A">
        <w:rPr>
          <w:sz w:val="24"/>
          <w:szCs w:val="24"/>
          <w:vertAlign w:val="superscript"/>
        </w:rPr>
        <w:footnoteReference w:id="1"/>
      </w:r>
      <w:r w:rsidRPr="0057399A">
        <w:rPr>
          <w:sz w:val="24"/>
          <w:szCs w:val="24"/>
        </w:rPr>
        <w:t>, il n’en a pas été de même pour les activités d’écriture, qui constituent pourtant un outil essentiel de la maîtrise de la langue et de la compréhension des textes en langues anciennes. Faire pratiquer l’écriture à l’élèv</w:t>
      </w:r>
      <w:r w:rsidR="00F56A29" w:rsidRPr="0057399A">
        <w:rPr>
          <w:sz w:val="24"/>
          <w:szCs w:val="24"/>
        </w:rPr>
        <w:t>e</w:t>
      </w:r>
      <w:r w:rsidRPr="0057399A">
        <w:rPr>
          <w:sz w:val="24"/>
          <w:szCs w:val="24"/>
        </w:rPr>
        <w:t xml:space="preserve"> en latin ou en grec peut être un levier pour lui permettre de :</w:t>
      </w:r>
    </w:p>
    <w:p w14:paraId="59468190" w14:textId="7B17442E" w:rsidR="00C80504" w:rsidRPr="0057399A" w:rsidRDefault="00C04ECB">
      <w:pPr>
        <w:numPr>
          <w:ilvl w:val="0"/>
          <w:numId w:val="1"/>
        </w:numPr>
        <w:jc w:val="both"/>
        <w:rPr>
          <w:sz w:val="24"/>
          <w:szCs w:val="24"/>
        </w:rPr>
      </w:pPr>
      <w:proofErr w:type="gramStart"/>
      <w:r w:rsidRPr="0057399A">
        <w:rPr>
          <w:sz w:val="24"/>
          <w:szCs w:val="24"/>
        </w:rPr>
        <w:t>s’approprier</w:t>
      </w:r>
      <w:proofErr w:type="gramEnd"/>
      <w:r w:rsidRPr="0057399A">
        <w:rPr>
          <w:sz w:val="24"/>
          <w:szCs w:val="24"/>
        </w:rPr>
        <w:t xml:space="preserve"> de nouvelles connaissances grammaticales et lexicales, et vérifier ses acquis ; </w:t>
      </w:r>
    </w:p>
    <w:p w14:paraId="00E55831" w14:textId="2D2D3B42" w:rsidR="00C80504" w:rsidRPr="0057399A" w:rsidRDefault="00C04ECB">
      <w:pPr>
        <w:numPr>
          <w:ilvl w:val="0"/>
          <w:numId w:val="1"/>
        </w:numPr>
        <w:jc w:val="both"/>
        <w:rPr>
          <w:sz w:val="24"/>
          <w:szCs w:val="24"/>
        </w:rPr>
      </w:pPr>
      <w:proofErr w:type="gramStart"/>
      <w:r w:rsidRPr="0057399A">
        <w:rPr>
          <w:sz w:val="24"/>
          <w:szCs w:val="24"/>
        </w:rPr>
        <w:t>s’approprier</w:t>
      </w:r>
      <w:proofErr w:type="gramEnd"/>
      <w:r w:rsidRPr="0057399A">
        <w:rPr>
          <w:sz w:val="24"/>
          <w:szCs w:val="24"/>
        </w:rPr>
        <w:t xml:space="preserve"> de nouvelles connaissances culturelles et historiques, et vérifier ses acquis ;</w:t>
      </w:r>
    </w:p>
    <w:p w14:paraId="3B472A1E" w14:textId="335DE4B5" w:rsidR="00F56A29" w:rsidRPr="0057399A" w:rsidRDefault="00F56A29">
      <w:pPr>
        <w:numPr>
          <w:ilvl w:val="0"/>
          <w:numId w:val="1"/>
        </w:numPr>
        <w:jc w:val="both"/>
        <w:rPr>
          <w:sz w:val="24"/>
          <w:szCs w:val="24"/>
        </w:rPr>
      </w:pPr>
      <w:proofErr w:type="gramStart"/>
      <w:r w:rsidRPr="0057399A">
        <w:rPr>
          <w:sz w:val="24"/>
          <w:szCs w:val="24"/>
        </w:rPr>
        <w:t>s’approprier</w:t>
      </w:r>
      <w:proofErr w:type="gramEnd"/>
      <w:r w:rsidRPr="0057399A">
        <w:rPr>
          <w:sz w:val="24"/>
          <w:szCs w:val="24"/>
        </w:rPr>
        <w:t xml:space="preserve"> les modes spécifiques d’expression des différents genres littéraire</w:t>
      </w:r>
      <w:r w:rsidR="005771AB" w:rsidRPr="0057399A">
        <w:rPr>
          <w:sz w:val="24"/>
          <w:szCs w:val="24"/>
        </w:rPr>
        <w:t>s ;</w:t>
      </w:r>
    </w:p>
    <w:p w14:paraId="79751255" w14:textId="77777777" w:rsidR="00C80504" w:rsidRPr="0057399A" w:rsidRDefault="00C04ECB">
      <w:pPr>
        <w:numPr>
          <w:ilvl w:val="0"/>
          <w:numId w:val="1"/>
        </w:numPr>
        <w:jc w:val="both"/>
        <w:rPr>
          <w:sz w:val="24"/>
          <w:szCs w:val="24"/>
        </w:rPr>
      </w:pPr>
      <w:proofErr w:type="gramStart"/>
      <w:r w:rsidRPr="0057399A">
        <w:rPr>
          <w:sz w:val="24"/>
          <w:szCs w:val="24"/>
        </w:rPr>
        <w:t>comprendre</w:t>
      </w:r>
      <w:proofErr w:type="gramEnd"/>
      <w:r w:rsidRPr="0057399A">
        <w:rPr>
          <w:sz w:val="24"/>
          <w:szCs w:val="24"/>
        </w:rPr>
        <w:t xml:space="preserve"> la structure d’un texte, accéder à son sens et mieux l’assimiler ; </w:t>
      </w:r>
    </w:p>
    <w:p w14:paraId="1B4D5279" w14:textId="77777777" w:rsidR="00C80504" w:rsidRPr="0057399A" w:rsidRDefault="00C04ECB">
      <w:pPr>
        <w:numPr>
          <w:ilvl w:val="0"/>
          <w:numId w:val="1"/>
        </w:numPr>
        <w:jc w:val="both"/>
        <w:rPr>
          <w:sz w:val="24"/>
          <w:szCs w:val="24"/>
        </w:rPr>
      </w:pPr>
      <w:proofErr w:type="gramStart"/>
      <w:r w:rsidRPr="0057399A">
        <w:rPr>
          <w:sz w:val="24"/>
          <w:szCs w:val="24"/>
        </w:rPr>
        <w:t>entrer</w:t>
      </w:r>
      <w:proofErr w:type="gramEnd"/>
      <w:r w:rsidRPr="0057399A">
        <w:rPr>
          <w:sz w:val="24"/>
          <w:szCs w:val="24"/>
        </w:rPr>
        <w:t xml:space="preserve"> dans une démarche de recherche et d’ouverture culturelle ;</w:t>
      </w:r>
    </w:p>
    <w:p w14:paraId="0061BA43" w14:textId="77777777" w:rsidR="00C80504" w:rsidRPr="0057399A" w:rsidRDefault="00C04ECB">
      <w:pPr>
        <w:numPr>
          <w:ilvl w:val="0"/>
          <w:numId w:val="1"/>
        </w:numPr>
        <w:jc w:val="both"/>
        <w:rPr>
          <w:sz w:val="24"/>
          <w:szCs w:val="24"/>
        </w:rPr>
      </w:pPr>
      <w:proofErr w:type="gramStart"/>
      <w:r w:rsidRPr="0057399A">
        <w:rPr>
          <w:sz w:val="24"/>
          <w:szCs w:val="24"/>
        </w:rPr>
        <w:t>réfléchir</w:t>
      </w:r>
      <w:proofErr w:type="gramEnd"/>
      <w:r w:rsidRPr="0057399A">
        <w:rPr>
          <w:sz w:val="24"/>
          <w:szCs w:val="24"/>
        </w:rPr>
        <w:t xml:space="preserve"> aux échos de la culture et de la civilisation gréco-romaines dans notre société ou à leur influence sur elle ;</w:t>
      </w:r>
    </w:p>
    <w:p w14:paraId="403348B3" w14:textId="77777777" w:rsidR="00C80504" w:rsidRPr="0057399A" w:rsidRDefault="00C04ECB">
      <w:pPr>
        <w:numPr>
          <w:ilvl w:val="0"/>
          <w:numId w:val="1"/>
        </w:numPr>
        <w:jc w:val="both"/>
        <w:rPr>
          <w:sz w:val="24"/>
          <w:szCs w:val="24"/>
        </w:rPr>
      </w:pPr>
      <w:proofErr w:type="gramStart"/>
      <w:r w:rsidRPr="0057399A">
        <w:rPr>
          <w:sz w:val="24"/>
          <w:szCs w:val="24"/>
        </w:rPr>
        <w:t>développer</w:t>
      </w:r>
      <w:proofErr w:type="gramEnd"/>
      <w:r w:rsidRPr="0057399A">
        <w:rPr>
          <w:sz w:val="24"/>
          <w:szCs w:val="24"/>
        </w:rPr>
        <w:t xml:space="preserve"> son expression et sa créativité.</w:t>
      </w:r>
    </w:p>
    <w:p w14:paraId="0A78C2E3" w14:textId="77777777" w:rsidR="00C80504" w:rsidRPr="0057399A" w:rsidRDefault="00C80504">
      <w:pPr>
        <w:ind w:left="720"/>
        <w:jc w:val="both"/>
        <w:rPr>
          <w:sz w:val="24"/>
          <w:szCs w:val="24"/>
        </w:rPr>
      </w:pPr>
    </w:p>
    <w:p w14:paraId="55D947BE" w14:textId="77777777" w:rsidR="00C80504" w:rsidRPr="0057399A" w:rsidRDefault="00C04ECB">
      <w:pPr>
        <w:jc w:val="both"/>
        <w:rPr>
          <w:sz w:val="24"/>
          <w:szCs w:val="24"/>
        </w:rPr>
      </w:pPr>
      <w:r w:rsidRPr="0057399A">
        <w:rPr>
          <w:sz w:val="24"/>
          <w:szCs w:val="24"/>
        </w:rPr>
        <w:t xml:space="preserve">L’écriture peut intervenir à différents moments d’une séquence d’apprentissage et sous des formes variées. </w:t>
      </w:r>
    </w:p>
    <w:p w14:paraId="0BA23698" w14:textId="11A237BD" w:rsidR="00C80504" w:rsidRPr="0057399A" w:rsidRDefault="00C04ECB">
      <w:pPr>
        <w:ind w:firstLine="425"/>
        <w:jc w:val="both"/>
        <w:rPr>
          <w:sz w:val="24"/>
          <w:szCs w:val="24"/>
        </w:rPr>
      </w:pPr>
      <w:r w:rsidRPr="0057399A">
        <w:rPr>
          <w:sz w:val="24"/>
          <w:szCs w:val="24"/>
        </w:rPr>
        <w:t xml:space="preserve">Sa forme </w:t>
      </w:r>
      <w:r w:rsidR="00F56A29" w:rsidRPr="0057399A">
        <w:rPr>
          <w:sz w:val="24"/>
          <w:szCs w:val="24"/>
        </w:rPr>
        <w:t xml:space="preserve">la </w:t>
      </w:r>
      <w:r w:rsidRPr="0057399A">
        <w:rPr>
          <w:sz w:val="24"/>
          <w:szCs w:val="24"/>
        </w:rPr>
        <w:t xml:space="preserve">plus académique est celle de la traditionnelle version grecque ou latine. Mais il est possible, lorsqu’on manipule le texte dans sa langue d’origine, de procéder à des réécritures ou des reformulations indépendantes de la traduction, qui n’est qu’une fin, parmi d’autres, du travail de confrontation avec la langue ancienne. </w:t>
      </w:r>
    </w:p>
    <w:p w14:paraId="69150E47" w14:textId="196160AB" w:rsidR="00C80504" w:rsidRPr="0057399A" w:rsidRDefault="00C04ECB">
      <w:pPr>
        <w:ind w:firstLine="425"/>
        <w:jc w:val="both"/>
        <w:rPr>
          <w:sz w:val="24"/>
          <w:szCs w:val="24"/>
        </w:rPr>
      </w:pPr>
      <w:r w:rsidRPr="0057399A">
        <w:rPr>
          <w:sz w:val="24"/>
          <w:szCs w:val="24"/>
        </w:rPr>
        <w:t>La mise en français elle-même peut passer par plusieurs activités d’écriture, depuis le relevé de vocabulaire</w:t>
      </w:r>
      <w:r w:rsidR="00F56A29" w:rsidRPr="0057399A">
        <w:rPr>
          <w:sz w:val="24"/>
          <w:szCs w:val="24"/>
        </w:rPr>
        <w:t>, le travail sur l’étymologie</w:t>
      </w:r>
      <w:r w:rsidRPr="0057399A">
        <w:rPr>
          <w:sz w:val="24"/>
          <w:szCs w:val="24"/>
        </w:rPr>
        <w:t xml:space="preserve"> et l’analyse grammaticale de base, jusqu’à la traduction définitive, en passant par </w:t>
      </w:r>
      <w:r w:rsidR="009855CC" w:rsidRPr="0057399A">
        <w:rPr>
          <w:sz w:val="24"/>
          <w:szCs w:val="24"/>
        </w:rPr>
        <w:t>sa compréhension globale et s</w:t>
      </w:r>
      <w:r w:rsidRPr="0057399A">
        <w:rPr>
          <w:sz w:val="24"/>
          <w:szCs w:val="24"/>
        </w:rPr>
        <w:t>a traduction littérale sous forme d’une juxtalinéaire. Dans le cas d’œuvres poétiques, la traduction supposée “définitive” peut même n’être qu’une étape vers une traduction finale versifiée, avec toutes les adaptations et les compromis nécessaires au passage d’un système poétique à l’autre.</w:t>
      </w:r>
    </w:p>
    <w:p w14:paraId="67D1A84F" w14:textId="77777777" w:rsidR="00C80504" w:rsidRPr="0057399A" w:rsidRDefault="00C04ECB">
      <w:pPr>
        <w:ind w:firstLine="425"/>
        <w:jc w:val="both"/>
        <w:rPr>
          <w:sz w:val="24"/>
          <w:szCs w:val="24"/>
        </w:rPr>
      </w:pPr>
      <w:r w:rsidRPr="0057399A">
        <w:rPr>
          <w:sz w:val="24"/>
          <w:szCs w:val="24"/>
        </w:rPr>
        <w:t xml:space="preserve">Mais l’acte de traduction (que ce soit sous la forme de la version ou du thème) n’est pas la seule activité d’écriture possible avec les langues anciennes. Celles-ci constituent aussi un </w:t>
      </w:r>
      <w:r w:rsidRPr="0057399A">
        <w:rPr>
          <w:sz w:val="24"/>
          <w:szCs w:val="24"/>
        </w:rPr>
        <w:lastRenderedPageBreak/>
        <w:t>support éventuel pour une correspondance épistolaire, notamment dans le cadre d’un échange international. Il n’y a alors nulle contrainte imposée par un texte source : seule demeure la nécessité de trouver des formulations justes et claires.</w:t>
      </w:r>
    </w:p>
    <w:p w14:paraId="7132DBD4" w14:textId="77777777" w:rsidR="00C80504" w:rsidRPr="0057399A" w:rsidRDefault="00C04ECB">
      <w:pPr>
        <w:ind w:firstLine="425"/>
        <w:jc w:val="both"/>
        <w:rPr>
          <w:sz w:val="24"/>
          <w:szCs w:val="24"/>
        </w:rPr>
      </w:pPr>
      <w:r w:rsidRPr="0057399A">
        <w:rPr>
          <w:sz w:val="24"/>
          <w:szCs w:val="24"/>
        </w:rPr>
        <w:t>La rédaction de textes ou de portions de textes de fiction en grec ou en latin peut donner lieu à des ateliers d’écriture, comme on les pratique en français.</w:t>
      </w:r>
    </w:p>
    <w:p w14:paraId="47283AE4" w14:textId="77777777" w:rsidR="00C80504" w:rsidRPr="0057399A" w:rsidRDefault="00C04ECB">
      <w:pPr>
        <w:ind w:firstLine="425"/>
        <w:jc w:val="both"/>
        <w:rPr>
          <w:sz w:val="24"/>
          <w:szCs w:val="24"/>
        </w:rPr>
      </w:pPr>
      <w:r w:rsidRPr="0057399A">
        <w:rPr>
          <w:sz w:val="24"/>
          <w:szCs w:val="24"/>
        </w:rPr>
        <w:t>Le cours de langues anciennes est aussi l’occasion, en dehors de la traduction, d’activités d’écriture en français, en lien avec des éléments de culture et de civilisation antiques. La rédaction de paragraphes argumentés sur des sujets de cette nature mobilise et renforce ainsi les pratiques d’écriture mises en œuvre en cours de français.</w:t>
      </w:r>
    </w:p>
    <w:p w14:paraId="6D6825CD" w14:textId="7DA6FF19" w:rsidR="00C80504" w:rsidRPr="0057399A" w:rsidRDefault="00C04ECB">
      <w:pPr>
        <w:ind w:firstLine="425"/>
        <w:jc w:val="both"/>
        <w:rPr>
          <w:sz w:val="24"/>
          <w:szCs w:val="24"/>
        </w:rPr>
      </w:pPr>
      <w:r w:rsidRPr="0057399A">
        <w:rPr>
          <w:sz w:val="24"/>
          <w:szCs w:val="24"/>
        </w:rPr>
        <w:t>Toutes ces activités d’écriture</w:t>
      </w:r>
      <w:r w:rsidR="0057399A" w:rsidRPr="0057399A">
        <w:rPr>
          <w:sz w:val="24"/>
          <w:szCs w:val="24"/>
        </w:rPr>
        <w:t xml:space="preserve"> </w:t>
      </w:r>
      <w:r w:rsidRPr="0057399A">
        <w:rPr>
          <w:sz w:val="24"/>
          <w:szCs w:val="24"/>
        </w:rPr>
        <w:t>sont susceptibles d’être pratiquées sur un support papier</w:t>
      </w:r>
      <w:r w:rsidR="005771AB" w:rsidRPr="0057399A">
        <w:rPr>
          <w:sz w:val="24"/>
          <w:szCs w:val="24"/>
        </w:rPr>
        <w:t xml:space="preserve"> ou numérique</w:t>
      </w:r>
      <w:r w:rsidR="00F56A29" w:rsidRPr="0057399A">
        <w:rPr>
          <w:sz w:val="24"/>
          <w:szCs w:val="24"/>
        </w:rPr>
        <w:t>.</w:t>
      </w:r>
      <w:r w:rsidRPr="0057399A">
        <w:rPr>
          <w:sz w:val="24"/>
          <w:szCs w:val="24"/>
        </w:rPr>
        <w:t xml:space="preserve"> Dans tous les cas, il importe que les approches proposées suscitent l’intérêt et la curiosité des élèves et entretiennent leur plaisir et leur motivation.</w:t>
      </w:r>
    </w:p>
    <w:p w14:paraId="4F7F15AB" w14:textId="77777777" w:rsidR="009855CC" w:rsidRPr="0057399A" w:rsidRDefault="009855CC">
      <w:pPr>
        <w:jc w:val="both"/>
        <w:rPr>
          <w:sz w:val="24"/>
          <w:szCs w:val="24"/>
        </w:rPr>
      </w:pPr>
    </w:p>
    <w:p w14:paraId="596F260C" w14:textId="7C972DE7" w:rsidR="00C80504" w:rsidRPr="0057399A" w:rsidRDefault="00F56A29">
      <w:pPr>
        <w:jc w:val="both"/>
        <w:rPr>
          <w:sz w:val="24"/>
          <w:szCs w:val="24"/>
        </w:rPr>
      </w:pPr>
      <w:r w:rsidRPr="0057399A">
        <w:rPr>
          <w:sz w:val="24"/>
          <w:szCs w:val="24"/>
        </w:rPr>
        <w:t>Les propositions de contributions pourront traiter de l’une ou de plusieurs des activités ci-dessus</w:t>
      </w:r>
      <w:r w:rsidR="005771AB" w:rsidRPr="0057399A">
        <w:rPr>
          <w:sz w:val="24"/>
          <w:szCs w:val="24"/>
        </w:rPr>
        <w:t> ;</w:t>
      </w:r>
      <w:r w:rsidRPr="0057399A">
        <w:rPr>
          <w:sz w:val="24"/>
          <w:szCs w:val="24"/>
        </w:rPr>
        <w:t xml:space="preserve"> toute autre proposition pédagogique sera aussi bienvenue</w:t>
      </w:r>
      <w:r w:rsidR="005771AB" w:rsidRPr="0057399A">
        <w:rPr>
          <w:sz w:val="24"/>
          <w:szCs w:val="24"/>
        </w:rPr>
        <w:t>.</w:t>
      </w:r>
    </w:p>
    <w:p w14:paraId="18138DE7" w14:textId="77777777" w:rsidR="00C80504" w:rsidRPr="0057399A" w:rsidRDefault="00C80504">
      <w:pPr>
        <w:jc w:val="both"/>
        <w:rPr>
          <w:sz w:val="24"/>
          <w:szCs w:val="24"/>
        </w:rPr>
      </w:pPr>
    </w:p>
    <w:p w14:paraId="41378DD7" w14:textId="77777777" w:rsidR="00C80504" w:rsidRPr="0057399A" w:rsidRDefault="00C04ECB">
      <w:pPr>
        <w:jc w:val="both"/>
        <w:rPr>
          <w:i/>
          <w:sz w:val="24"/>
          <w:szCs w:val="24"/>
        </w:rPr>
      </w:pPr>
      <w:r w:rsidRPr="0057399A">
        <w:rPr>
          <w:i/>
          <w:sz w:val="24"/>
          <w:szCs w:val="24"/>
        </w:rPr>
        <w:t>Quelques recommandations pour la rédaction des articles, qu’ils soient ou non en lien avec le dossier thématique</w:t>
      </w:r>
    </w:p>
    <w:p w14:paraId="0B49506B" w14:textId="77777777" w:rsidR="00C80504" w:rsidRPr="0057399A" w:rsidRDefault="00C04ECB">
      <w:pPr>
        <w:jc w:val="both"/>
        <w:rPr>
          <w:sz w:val="24"/>
          <w:szCs w:val="24"/>
        </w:rPr>
      </w:pPr>
      <w:r w:rsidRPr="0057399A">
        <w:rPr>
          <w:sz w:val="24"/>
          <w:szCs w:val="24"/>
        </w:rPr>
        <w:t>Il s’agit de ne pas se limiter à la seule description d’une expérience pédagogique. Pour cela, on peut envisager les questions suivantes :</w:t>
      </w:r>
    </w:p>
    <w:p w14:paraId="169ECE26" w14:textId="77777777" w:rsidR="00C80504" w:rsidRPr="0057399A" w:rsidRDefault="00C04ECB">
      <w:pPr>
        <w:jc w:val="both"/>
        <w:rPr>
          <w:sz w:val="24"/>
          <w:szCs w:val="24"/>
        </w:rPr>
      </w:pPr>
      <w:r w:rsidRPr="0057399A">
        <w:rPr>
          <w:sz w:val="24"/>
          <w:szCs w:val="24"/>
        </w:rPr>
        <w:t xml:space="preserve">– Quels étaient les objectifs visés, la méthodologie suivie ? </w:t>
      </w:r>
    </w:p>
    <w:p w14:paraId="655740E6" w14:textId="3A5F118C" w:rsidR="00C80504" w:rsidRPr="0057399A" w:rsidRDefault="00C04ECB">
      <w:pPr>
        <w:jc w:val="both"/>
        <w:rPr>
          <w:sz w:val="24"/>
          <w:szCs w:val="24"/>
        </w:rPr>
      </w:pPr>
      <w:r w:rsidRPr="0057399A">
        <w:rPr>
          <w:sz w:val="24"/>
          <w:szCs w:val="24"/>
        </w:rPr>
        <w:t>– Qu’est-ce qui est en jeu dans ce type d’activité</w:t>
      </w:r>
      <w:r w:rsidR="00E64BE8" w:rsidRPr="0057399A">
        <w:rPr>
          <w:sz w:val="24"/>
          <w:szCs w:val="24"/>
        </w:rPr>
        <w:t xml:space="preserve"> / </w:t>
      </w:r>
      <w:r w:rsidRPr="0057399A">
        <w:rPr>
          <w:sz w:val="24"/>
          <w:szCs w:val="24"/>
        </w:rPr>
        <w:t>de pratique</w:t>
      </w:r>
      <w:r w:rsidR="00E64BE8" w:rsidRPr="0057399A">
        <w:rPr>
          <w:sz w:val="24"/>
          <w:szCs w:val="24"/>
        </w:rPr>
        <w:t xml:space="preserve"> (en termes de connaissances, de compétences)</w:t>
      </w:r>
      <w:r w:rsidRPr="0057399A">
        <w:rPr>
          <w:sz w:val="24"/>
          <w:szCs w:val="24"/>
        </w:rPr>
        <w:t xml:space="preserve"> ?  </w:t>
      </w:r>
    </w:p>
    <w:p w14:paraId="5F61A121" w14:textId="77777777" w:rsidR="00C80504" w:rsidRPr="0057399A" w:rsidRDefault="00C04ECB">
      <w:pPr>
        <w:jc w:val="both"/>
        <w:rPr>
          <w:sz w:val="24"/>
          <w:szCs w:val="24"/>
        </w:rPr>
      </w:pPr>
      <w:r w:rsidRPr="0057399A">
        <w:rPr>
          <w:sz w:val="24"/>
          <w:szCs w:val="24"/>
        </w:rPr>
        <w:t xml:space="preserve">– Quels ont été les éventuels obstacles rencontrés ? </w:t>
      </w:r>
    </w:p>
    <w:p w14:paraId="3F6F4635" w14:textId="77777777" w:rsidR="00C80504" w:rsidRPr="0057399A" w:rsidRDefault="00C04ECB">
      <w:pPr>
        <w:jc w:val="both"/>
        <w:rPr>
          <w:sz w:val="24"/>
          <w:szCs w:val="24"/>
        </w:rPr>
      </w:pPr>
      <w:r w:rsidRPr="0057399A">
        <w:rPr>
          <w:sz w:val="24"/>
          <w:szCs w:val="24"/>
        </w:rPr>
        <w:t xml:space="preserve">– Quels sont les résultats effectifs ? </w:t>
      </w:r>
    </w:p>
    <w:p w14:paraId="2AE52337" w14:textId="77777777" w:rsidR="00C80504" w:rsidRPr="0057399A" w:rsidRDefault="00C04ECB">
      <w:pPr>
        <w:jc w:val="both"/>
        <w:rPr>
          <w:sz w:val="24"/>
          <w:szCs w:val="24"/>
        </w:rPr>
      </w:pPr>
      <w:r w:rsidRPr="0057399A">
        <w:rPr>
          <w:sz w:val="24"/>
          <w:szCs w:val="24"/>
        </w:rPr>
        <w:t xml:space="preserve">– Quel retour sur expérience ? </w:t>
      </w:r>
    </w:p>
    <w:p w14:paraId="3384C528" w14:textId="77777777" w:rsidR="00C80504" w:rsidRPr="0057399A" w:rsidRDefault="00C04ECB">
      <w:pPr>
        <w:jc w:val="both"/>
        <w:rPr>
          <w:sz w:val="24"/>
          <w:szCs w:val="24"/>
        </w:rPr>
      </w:pPr>
      <w:r w:rsidRPr="0057399A">
        <w:rPr>
          <w:sz w:val="24"/>
          <w:szCs w:val="24"/>
        </w:rPr>
        <w:t xml:space="preserve">– Quelles seraient les pistes pour favoriser le transfert à d’autres niveaux ? </w:t>
      </w:r>
    </w:p>
    <w:p w14:paraId="078C50A6" w14:textId="77777777" w:rsidR="00C80504" w:rsidRPr="0057399A" w:rsidRDefault="00C80504">
      <w:pPr>
        <w:jc w:val="both"/>
        <w:rPr>
          <w:sz w:val="24"/>
          <w:szCs w:val="24"/>
        </w:rPr>
      </w:pPr>
    </w:p>
    <w:p w14:paraId="2CFE9DDD" w14:textId="77777777" w:rsidR="00C80504" w:rsidRPr="0057399A" w:rsidRDefault="00C04ECB">
      <w:pPr>
        <w:jc w:val="both"/>
        <w:rPr>
          <w:i/>
          <w:sz w:val="24"/>
          <w:szCs w:val="24"/>
        </w:rPr>
      </w:pPr>
      <w:r w:rsidRPr="0057399A">
        <w:rPr>
          <w:i/>
          <w:sz w:val="24"/>
          <w:szCs w:val="24"/>
        </w:rPr>
        <w:t>Consignes pratiques</w:t>
      </w:r>
    </w:p>
    <w:p w14:paraId="3EFAEB8C" w14:textId="13CA12B2" w:rsidR="00C80504" w:rsidRPr="0057399A" w:rsidRDefault="00C04ECB">
      <w:pPr>
        <w:pBdr>
          <w:top w:val="nil"/>
          <w:left w:val="nil"/>
          <w:bottom w:val="nil"/>
          <w:right w:val="nil"/>
          <w:between w:val="nil"/>
        </w:pBdr>
        <w:jc w:val="both"/>
        <w:rPr>
          <w:sz w:val="24"/>
          <w:szCs w:val="24"/>
        </w:rPr>
      </w:pPr>
      <w:r w:rsidRPr="0057399A">
        <w:rPr>
          <w:sz w:val="24"/>
          <w:szCs w:val="24"/>
        </w:rPr>
        <w:t xml:space="preserve">– Longueur de la contribution : 50 000 caractères maximum espaces et notes comprises (= environ 15 pages </w:t>
      </w:r>
      <w:r w:rsidR="0057399A" w:rsidRPr="0057399A">
        <w:rPr>
          <w:sz w:val="24"/>
          <w:szCs w:val="24"/>
        </w:rPr>
        <w:t>W</w:t>
      </w:r>
      <w:r w:rsidRPr="0057399A">
        <w:rPr>
          <w:sz w:val="24"/>
          <w:szCs w:val="24"/>
        </w:rPr>
        <w:t>ord</w:t>
      </w:r>
      <w:r w:rsidR="0057399A" w:rsidRPr="0057399A">
        <w:rPr>
          <w:sz w:val="24"/>
          <w:szCs w:val="24"/>
        </w:rPr>
        <w:t>,</w:t>
      </w:r>
      <w:r w:rsidRPr="0057399A">
        <w:rPr>
          <w:sz w:val="24"/>
          <w:szCs w:val="24"/>
        </w:rPr>
        <w:t xml:space="preserve"> interligne 1,5, </w:t>
      </w:r>
      <w:r w:rsidR="0057399A" w:rsidRPr="0057399A">
        <w:rPr>
          <w:sz w:val="24"/>
          <w:szCs w:val="24"/>
        </w:rPr>
        <w:t>T</w:t>
      </w:r>
      <w:r w:rsidRPr="0057399A">
        <w:rPr>
          <w:sz w:val="24"/>
          <w:szCs w:val="24"/>
        </w:rPr>
        <w:t>imes 12 pts).</w:t>
      </w:r>
    </w:p>
    <w:p w14:paraId="3B2B1F8B" w14:textId="512874A3" w:rsidR="00C80504" w:rsidRPr="0057399A" w:rsidRDefault="00C04ECB">
      <w:pPr>
        <w:pBdr>
          <w:top w:val="nil"/>
          <w:left w:val="nil"/>
          <w:bottom w:val="nil"/>
          <w:right w:val="nil"/>
          <w:between w:val="nil"/>
        </w:pBdr>
        <w:jc w:val="both"/>
        <w:rPr>
          <w:sz w:val="24"/>
          <w:szCs w:val="24"/>
        </w:rPr>
      </w:pPr>
      <w:r w:rsidRPr="0057399A">
        <w:rPr>
          <w:sz w:val="24"/>
          <w:szCs w:val="24"/>
        </w:rPr>
        <w:t>–</w:t>
      </w:r>
      <w:r w:rsidR="001D07BF" w:rsidRPr="0057399A">
        <w:rPr>
          <w:sz w:val="24"/>
          <w:szCs w:val="24"/>
        </w:rPr>
        <w:t xml:space="preserve"> N</w:t>
      </w:r>
      <w:r w:rsidRPr="0057399A">
        <w:rPr>
          <w:sz w:val="24"/>
          <w:szCs w:val="24"/>
        </w:rPr>
        <w:t>ormes bibliographiques</w:t>
      </w:r>
      <w:r w:rsidR="001D07BF" w:rsidRPr="0057399A">
        <w:rPr>
          <w:sz w:val="24"/>
          <w:szCs w:val="24"/>
        </w:rPr>
        <w:t> : selon les usages en vigueur pour la rédaction d’articles en sciences humaines et sociales (si vous souhaitez un modèle, n’hésitez pas à nous le demander).</w:t>
      </w:r>
    </w:p>
    <w:p w14:paraId="0065EE7E" w14:textId="2FA79776" w:rsidR="00C80504" w:rsidRPr="0057399A" w:rsidRDefault="00C04ECB">
      <w:pPr>
        <w:pBdr>
          <w:top w:val="nil"/>
          <w:left w:val="nil"/>
          <w:bottom w:val="nil"/>
          <w:right w:val="nil"/>
          <w:between w:val="nil"/>
        </w:pBdr>
        <w:jc w:val="both"/>
        <w:rPr>
          <w:sz w:val="24"/>
          <w:szCs w:val="24"/>
        </w:rPr>
      </w:pPr>
      <w:r w:rsidRPr="0057399A">
        <w:rPr>
          <w:sz w:val="24"/>
          <w:szCs w:val="24"/>
        </w:rPr>
        <w:t>– Délai : pour le 1er numéro, les propositions de contributions sont attendues dès que possible et jusqu’au 31 décembre 2021. Les articles seront mis en ligne au fur et à mesure de leur acceptation et de leur mise en forme. Ils seront publiés en ligne sur le site de la revue</w:t>
      </w:r>
      <w:r w:rsidR="00E64BE8" w:rsidRPr="0057399A">
        <w:rPr>
          <w:sz w:val="24"/>
          <w:szCs w:val="24"/>
        </w:rPr>
        <w:t xml:space="preserve"> avant d’être réunis en un numéro unique</w:t>
      </w:r>
      <w:r w:rsidR="001D07BF" w:rsidRPr="0057399A">
        <w:rPr>
          <w:sz w:val="24"/>
          <w:szCs w:val="24"/>
        </w:rPr>
        <w:t xml:space="preserve"> au printemps</w:t>
      </w:r>
      <w:r w:rsidR="00E64BE8" w:rsidRPr="0057399A">
        <w:rPr>
          <w:sz w:val="24"/>
          <w:szCs w:val="24"/>
        </w:rPr>
        <w:t xml:space="preserve"> 2022</w:t>
      </w:r>
      <w:r w:rsidRPr="0057399A">
        <w:rPr>
          <w:sz w:val="24"/>
          <w:szCs w:val="24"/>
        </w:rPr>
        <w:t>.</w:t>
      </w:r>
    </w:p>
    <w:p w14:paraId="6D4AEE94" w14:textId="77777777" w:rsidR="001D07BF" w:rsidRPr="0057399A" w:rsidRDefault="001D07BF">
      <w:pPr>
        <w:pBdr>
          <w:top w:val="nil"/>
          <w:left w:val="nil"/>
          <w:bottom w:val="nil"/>
          <w:right w:val="nil"/>
          <w:between w:val="nil"/>
        </w:pBdr>
        <w:jc w:val="both"/>
        <w:rPr>
          <w:sz w:val="24"/>
          <w:szCs w:val="24"/>
        </w:rPr>
      </w:pPr>
    </w:p>
    <w:p w14:paraId="73858251" w14:textId="08A3C660" w:rsidR="00E64BE8" w:rsidRPr="0057399A" w:rsidRDefault="001D07BF">
      <w:pPr>
        <w:pBdr>
          <w:top w:val="nil"/>
          <w:left w:val="nil"/>
          <w:bottom w:val="nil"/>
          <w:right w:val="nil"/>
          <w:between w:val="nil"/>
        </w:pBdr>
        <w:jc w:val="both"/>
        <w:rPr>
          <w:sz w:val="24"/>
          <w:szCs w:val="24"/>
        </w:rPr>
      </w:pPr>
      <w:r w:rsidRPr="0057399A">
        <w:rPr>
          <w:sz w:val="24"/>
          <w:szCs w:val="24"/>
        </w:rPr>
        <w:t>E</w:t>
      </w:r>
      <w:r w:rsidR="00C04ECB" w:rsidRPr="0057399A">
        <w:rPr>
          <w:sz w:val="24"/>
          <w:szCs w:val="24"/>
        </w:rPr>
        <w:t>nvoi des contributions</w:t>
      </w:r>
      <w:r w:rsidRPr="0057399A">
        <w:rPr>
          <w:sz w:val="24"/>
          <w:szCs w:val="24"/>
        </w:rPr>
        <w:t xml:space="preserve"> et de toute question éventuelle à l’adresse suivante</w:t>
      </w:r>
      <w:r w:rsidR="00C04ECB" w:rsidRPr="0057399A">
        <w:rPr>
          <w:sz w:val="24"/>
          <w:szCs w:val="24"/>
        </w:rPr>
        <w:t xml:space="preserve"> : </w:t>
      </w:r>
    </w:p>
    <w:p w14:paraId="47C1CF8E" w14:textId="570E69BA" w:rsidR="00C80504" w:rsidRPr="0057399A" w:rsidRDefault="0058315D">
      <w:pPr>
        <w:pBdr>
          <w:top w:val="nil"/>
          <w:left w:val="nil"/>
          <w:bottom w:val="nil"/>
          <w:right w:val="nil"/>
          <w:between w:val="nil"/>
        </w:pBdr>
        <w:jc w:val="both"/>
        <w:rPr>
          <w:b/>
          <w:sz w:val="24"/>
          <w:szCs w:val="24"/>
        </w:rPr>
      </w:pPr>
      <w:hyperlink r:id="rId8" w:history="1">
        <w:r w:rsidR="00994BE6" w:rsidRPr="0057399A">
          <w:rPr>
            <w:rStyle w:val="Lienhypertexte"/>
            <w:sz w:val="24"/>
            <w:szCs w:val="24"/>
          </w:rPr>
          <w:t>pedagogie-langues-anciennes@mailo.com</w:t>
        </w:r>
      </w:hyperlink>
      <w:r w:rsidR="00C04ECB" w:rsidRPr="0057399A">
        <w:rPr>
          <w:sz w:val="24"/>
          <w:szCs w:val="24"/>
        </w:rPr>
        <w:t xml:space="preserve"> </w:t>
      </w:r>
    </w:p>
    <w:p w14:paraId="49B43E10" w14:textId="77777777" w:rsidR="00C80504" w:rsidRDefault="00C80504">
      <w:pPr>
        <w:jc w:val="both"/>
        <w:rPr>
          <w:sz w:val="24"/>
          <w:szCs w:val="24"/>
        </w:rPr>
      </w:pPr>
    </w:p>
    <w:p w14:paraId="22BDBE16" w14:textId="77777777" w:rsidR="00C80504" w:rsidRDefault="00C80504">
      <w:pPr>
        <w:jc w:val="both"/>
        <w:rPr>
          <w:sz w:val="24"/>
          <w:szCs w:val="24"/>
        </w:rPr>
      </w:pPr>
    </w:p>
    <w:p w14:paraId="64321666" w14:textId="77777777" w:rsidR="00C80504" w:rsidRDefault="00C80504">
      <w:pPr>
        <w:jc w:val="both"/>
        <w:rPr>
          <w:color w:val="B7B7B7"/>
          <w:sz w:val="24"/>
          <w:szCs w:val="24"/>
          <w:shd w:val="clear" w:color="auto" w:fill="FF9900"/>
        </w:rPr>
      </w:pPr>
    </w:p>
    <w:sectPr w:rsidR="00C80504" w:rsidSect="00C439C4">
      <w:pgSz w:w="11909" w:h="16834"/>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E2BC" w14:textId="77777777" w:rsidR="0058315D" w:rsidRDefault="0058315D">
      <w:pPr>
        <w:spacing w:line="240" w:lineRule="auto"/>
      </w:pPr>
      <w:r>
        <w:separator/>
      </w:r>
    </w:p>
  </w:endnote>
  <w:endnote w:type="continuationSeparator" w:id="0">
    <w:p w14:paraId="5A841506" w14:textId="77777777" w:rsidR="0058315D" w:rsidRDefault="00583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2824" w14:textId="77777777" w:rsidR="0058315D" w:rsidRDefault="0058315D">
      <w:pPr>
        <w:spacing w:line="240" w:lineRule="auto"/>
      </w:pPr>
      <w:r>
        <w:separator/>
      </w:r>
    </w:p>
  </w:footnote>
  <w:footnote w:type="continuationSeparator" w:id="0">
    <w:p w14:paraId="7498CCB2" w14:textId="77777777" w:rsidR="0058315D" w:rsidRDefault="0058315D">
      <w:pPr>
        <w:spacing w:line="240" w:lineRule="auto"/>
      </w:pPr>
      <w:r>
        <w:continuationSeparator/>
      </w:r>
    </w:p>
  </w:footnote>
  <w:footnote w:id="1">
    <w:p w14:paraId="196F3A34" w14:textId="77777777" w:rsidR="00C80504" w:rsidRDefault="00C04ECB">
      <w:pPr>
        <w:spacing w:line="240" w:lineRule="auto"/>
        <w:jc w:val="both"/>
        <w:rPr>
          <w:sz w:val="20"/>
          <w:szCs w:val="20"/>
        </w:rPr>
      </w:pPr>
      <w:r>
        <w:rPr>
          <w:vertAlign w:val="superscript"/>
        </w:rPr>
        <w:footnoteRef/>
      </w:r>
      <w:r>
        <w:rPr>
          <w:sz w:val="16"/>
          <w:szCs w:val="16"/>
        </w:rPr>
        <w:t xml:space="preserve"> </w:t>
      </w:r>
      <w:r>
        <w:rPr>
          <w:sz w:val="20"/>
          <w:szCs w:val="20"/>
        </w:rPr>
        <w:t xml:space="preserve">Voir par exemple Augé Dominique, </w:t>
      </w:r>
      <w:r>
        <w:rPr>
          <w:i/>
          <w:sz w:val="20"/>
          <w:szCs w:val="20"/>
        </w:rPr>
        <w:t>Refonder l’enseignement des langues anciennes : le défi de la lecture</w:t>
      </w:r>
      <w:r>
        <w:rPr>
          <w:sz w:val="20"/>
          <w:szCs w:val="20"/>
        </w:rPr>
        <w:t xml:space="preserve">, UGA éditions, </w:t>
      </w:r>
      <w:proofErr w:type="spellStart"/>
      <w:r>
        <w:rPr>
          <w:sz w:val="20"/>
          <w:szCs w:val="20"/>
        </w:rPr>
        <w:t>Didaskein</w:t>
      </w:r>
      <w:proofErr w:type="spellEnd"/>
      <w:r>
        <w:rPr>
          <w:sz w:val="20"/>
          <w:szCs w:val="20"/>
        </w:rPr>
        <w:t xml:space="preserve">, 2019 [2013] ; </w:t>
      </w:r>
      <w:proofErr w:type="spellStart"/>
      <w:r>
        <w:rPr>
          <w:sz w:val="20"/>
          <w:szCs w:val="20"/>
        </w:rPr>
        <w:t>Bastin-Hammou</w:t>
      </w:r>
      <w:proofErr w:type="spellEnd"/>
      <w:r>
        <w:rPr>
          <w:sz w:val="20"/>
          <w:szCs w:val="20"/>
        </w:rPr>
        <w:t xml:space="preserve"> Malika, Fonio Filippo, Paré-Rey Pascale (éd.), </w:t>
      </w:r>
      <w:r>
        <w:rPr>
          <w:i/>
          <w:sz w:val="20"/>
          <w:szCs w:val="20"/>
        </w:rPr>
        <w:t xml:space="preserve">Fabula </w:t>
      </w:r>
      <w:proofErr w:type="spellStart"/>
      <w:r>
        <w:rPr>
          <w:i/>
          <w:sz w:val="20"/>
          <w:szCs w:val="20"/>
        </w:rPr>
        <w:t>Agitur</w:t>
      </w:r>
      <w:proofErr w:type="spellEnd"/>
      <w:r>
        <w:rPr>
          <w:i/>
          <w:sz w:val="20"/>
          <w:szCs w:val="20"/>
        </w:rPr>
        <w:t>, Pratiques théâtrales, oralisation et didactique des langues et cultures de l’Antiquité</w:t>
      </w:r>
      <w:r>
        <w:rPr>
          <w:sz w:val="20"/>
          <w:szCs w:val="20"/>
        </w:rPr>
        <w:t xml:space="preserve">, UGA éditions, </w:t>
      </w:r>
      <w:proofErr w:type="spellStart"/>
      <w:r>
        <w:rPr>
          <w:sz w:val="20"/>
          <w:szCs w:val="20"/>
        </w:rPr>
        <w:t>Didaskein</w:t>
      </w:r>
      <w:proofErr w:type="spellEnd"/>
      <w:r>
        <w:rPr>
          <w:sz w:val="20"/>
          <w:szCs w:val="20"/>
        </w:rPr>
        <w:t xml:space="preserve">, 2019 ; </w:t>
      </w:r>
      <w:proofErr w:type="spellStart"/>
      <w:r>
        <w:rPr>
          <w:sz w:val="20"/>
          <w:szCs w:val="20"/>
        </w:rPr>
        <w:t>Estèves</w:t>
      </w:r>
      <w:proofErr w:type="spellEnd"/>
      <w:r>
        <w:rPr>
          <w:sz w:val="20"/>
          <w:szCs w:val="20"/>
        </w:rPr>
        <w:t xml:space="preserve"> Aline, Kimmel-</w:t>
      </w:r>
      <w:proofErr w:type="spellStart"/>
      <w:r>
        <w:rPr>
          <w:sz w:val="20"/>
          <w:szCs w:val="20"/>
        </w:rPr>
        <w:t>Clauzet</w:t>
      </w:r>
      <w:proofErr w:type="spellEnd"/>
      <w:r>
        <w:rPr>
          <w:sz w:val="20"/>
          <w:szCs w:val="20"/>
        </w:rPr>
        <w:t xml:space="preserve"> Flore (éd.), </w:t>
      </w:r>
      <w:r>
        <w:rPr>
          <w:i/>
          <w:sz w:val="20"/>
          <w:szCs w:val="20"/>
        </w:rPr>
        <w:t>La Lecture antique en V.O.</w:t>
      </w:r>
      <w:r>
        <w:rPr>
          <w:sz w:val="20"/>
          <w:szCs w:val="20"/>
        </w:rPr>
        <w:t xml:space="preserve">, UGA éditions, </w:t>
      </w:r>
      <w:proofErr w:type="spellStart"/>
      <w:r>
        <w:rPr>
          <w:sz w:val="20"/>
          <w:szCs w:val="20"/>
        </w:rPr>
        <w:t>Didaskein</w:t>
      </w:r>
      <w:proofErr w:type="spellEnd"/>
      <w:r>
        <w:rPr>
          <w:sz w:val="20"/>
          <w:szCs w:val="20"/>
        </w:rPr>
        <w:t xml:space="preserve">, 2021 ; séminaire de recherche pédagogique de l’Université de Lille : </w:t>
      </w:r>
      <w:hyperlink r:id="rId1">
        <w:r>
          <w:rPr>
            <w:color w:val="1155CC"/>
            <w:sz w:val="20"/>
            <w:szCs w:val="20"/>
            <w:u w:val="single"/>
          </w:rPr>
          <w:t>https://halma.univ-lille.fr/nc/detail-event/seminaire-de-recherche-pedagogique-enseigner-le-latin-et-le-grec-comme-des-langues-vivantes/</w:t>
        </w:r>
      </w:hyperlink>
    </w:p>
    <w:p w14:paraId="5B18A1C0" w14:textId="77777777" w:rsidR="00C80504" w:rsidRDefault="00C80504">
      <w:pPr>
        <w:spacing w:line="240" w:lineRule="aut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72A6"/>
    <w:multiLevelType w:val="multilevel"/>
    <w:tmpl w:val="476C5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1C78C0"/>
    <w:multiLevelType w:val="multilevel"/>
    <w:tmpl w:val="76CE2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AB2B27"/>
    <w:multiLevelType w:val="multilevel"/>
    <w:tmpl w:val="76643A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04"/>
    <w:rsid w:val="00090BB4"/>
    <w:rsid w:val="00192544"/>
    <w:rsid w:val="001D07BF"/>
    <w:rsid w:val="00257DA4"/>
    <w:rsid w:val="00275E64"/>
    <w:rsid w:val="00401EED"/>
    <w:rsid w:val="00485EBC"/>
    <w:rsid w:val="004D2C46"/>
    <w:rsid w:val="004E1AF7"/>
    <w:rsid w:val="005673C2"/>
    <w:rsid w:val="0057399A"/>
    <w:rsid w:val="005771AB"/>
    <w:rsid w:val="0058315D"/>
    <w:rsid w:val="006850A7"/>
    <w:rsid w:val="009672F4"/>
    <w:rsid w:val="009812B8"/>
    <w:rsid w:val="009855CC"/>
    <w:rsid w:val="009942A4"/>
    <w:rsid w:val="00994BE6"/>
    <w:rsid w:val="009C6F94"/>
    <w:rsid w:val="00A776C8"/>
    <w:rsid w:val="00BB3595"/>
    <w:rsid w:val="00BC2FE7"/>
    <w:rsid w:val="00C04ECB"/>
    <w:rsid w:val="00C439C4"/>
    <w:rsid w:val="00C579C6"/>
    <w:rsid w:val="00C80504"/>
    <w:rsid w:val="00E64BE8"/>
    <w:rsid w:val="00EB6AD1"/>
    <w:rsid w:val="00EC1870"/>
    <w:rsid w:val="00EE4D7E"/>
    <w:rsid w:val="00F43F37"/>
    <w:rsid w:val="00F56A29"/>
    <w:rsid w:val="00FB3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2C7B"/>
  <w15:docId w15:val="{46E57488-FE8C-43E6-A42C-37CE127F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C8"/>
  </w:style>
  <w:style w:type="paragraph" w:styleId="Titre1">
    <w:name w:val="heading 1"/>
    <w:basedOn w:val="Normal"/>
    <w:next w:val="Normal"/>
    <w:uiPriority w:val="9"/>
    <w:qFormat/>
    <w:rsid w:val="00A776C8"/>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A776C8"/>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A776C8"/>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A776C8"/>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A776C8"/>
    <w:pPr>
      <w:keepNext/>
      <w:keepLines/>
      <w:spacing w:before="240" w:after="80"/>
      <w:outlineLvl w:val="4"/>
    </w:pPr>
    <w:rPr>
      <w:color w:val="666666"/>
    </w:rPr>
  </w:style>
  <w:style w:type="paragraph" w:styleId="Titre6">
    <w:name w:val="heading 6"/>
    <w:basedOn w:val="Normal"/>
    <w:next w:val="Normal"/>
    <w:uiPriority w:val="9"/>
    <w:semiHidden/>
    <w:unhideWhenUsed/>
    <w:qFormat/>
    <w:rsid w:val="00A776C8"/>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A776C8"/>
    <w:tblPr>
      <w:tblCellMar>
        <w:top w:w="0" w:type="dxa"/>
        <w:left w:w="0" w:type="dxa"/>
        <w:bottom w:w="0" w:type="dxa"/>
        <w:right w:w="0" w:type="dxa"/>
      </w:tblCellMar>
    </w:tblPr>
  </w:style>
  <w:style w:type="paragraph" w:styleId="Titre">
    <w:name w:val="Title"/>
    <w:basedOn w:val="Normal"/>
    <w:next w:val="Normal"/>
    <w:uiPriority w:val="10"/>
    <w:qFormat/>
    <w:rsid w:val="00A776C8"/>
    <w:pPr>
      <w:keepNext/>
      <w:keepLines/>
      <w:spacing w:after="60"/>
    </w:pPr>
    <w:rPr>
      <w:sz w:val="52"/>
      <w:szCs w:val="52"/>
    </w:rPr>
  </w:style>
  <w:style w:type="paragraph" w:styleId="Sous-titre">
    <w:name w:val="Subtitle"/>
    <w:basedOn w:val="Normal"/>
    <w:next w:val="Normal"/>
    <w:uiPriority w:val="11"/>
    <w:qFormat/>
    <w:rsid w:val="00A776C8"/>
    <w:pPr>
      <w:keepNext/>
      <w:keepLines/>
      <w:spacing w:after="320"/>
    </w:pPr>
    <w:rPr>
      <w:color w:val="666666"/>
      <w:sz w:val="30"/>
      <w:szCs w:val="30"/>
    </w:rPr>
  </w:style>
  <w:style w:type="paragraph" w:styleId="Commentaire">
    <w:name w:val="annotation text"/>
    <w:basedOn w:val="Normal"/>
    <w:link w:val="CommentaireCar"/>
    <w:uiPriority w:val="99"/>
    <w:semiHidden/>
    <w:unhideWhenUsed/>
    <w:rsid w:val="00A776C8"/>
    <w:pPr>
      <w:spacing w:line="240" w:lineRule="auto"/>
    </w:pPr>
    <w:rPr>
      <w:sz w:val="20"/>
      <w:szCs w:val="20"/>
    </w:rPr>
  </w:style>
  <w:style w:type="character" w:customStyle="1" w:styleId="CommentaireCar">
    <w:name w:val="Commentaire Car"/>
    <w:basedOn w:val="Policepardfaut"/>
    <w:link w:val="Commentaire"/>
    <w:uiPriority w:val="99"/>
    <w:semiHidden/>
    <w:rsid w:val="00A776C8"/>
    <w:rPr>
      <w:sz w:val="20"/>
      <w:szCs w:val="20"/>
    </w:rPr>
  </w:style>
  <w:style w:type="character" w:styleId="Marquedecommentaire">
    <w:name w:val="annotation reference"/>
    <w:basedOn w:val="Policepardfaut"/>
    <w:uiPriority w:val="99"/>
    <w:semiHidden/>
    <w:unhideWhenUsed/>
    <w:rsid w:val="00A776C8"/>
    <w:rPr>
      <w:sz w:val="16"/>
      <w:szCs w:val="16"/>
    </w:rPr>
  </w:style>
  <w:style w:type="paragraph" w:styleId="Objetducommentaire">
    <w:name w:val="annotation subject"/>
    <w:basedOn w:val="Commentaire"/>
    <w:next w:val="Commentaire"/>
    <w:link w:val="ObjetducommentaireCar"/>
    <w:uiPriority w:val="99"/>
    <w:semiHidden/>
    <w:unhideWhenUsed/>
    <w:rsid w:val="00257DA4"/>
    <w:rPr>
      <w:b/>
      <w:bCs/>
    </w:rPr>
  </w:style>
  <w:style w:type="character" w:customStyle="1" w:styleId="ObjetducommentaireCar">
    <w:name w:val="Objet du commentaire Car"/>
    <w:basedOn w:val="CommentaireCar"/>
    <w:link w:val="Objetducommentaire"/>
    <w:uiPriority w:val="99"/>
    <w:semiHidden/>
    <w:rsid w:val="00257DA4"/>
    <w:rPr>
      <w:b/>
      <w:bCs/>
      <w:sz w:val="20"/>
      <w:szCs w:val="20"/>
    </w:rPr>
  </w:style>
  <w:style w:type="paragraph" w:styleId="Textedebulles">
    <w:name w:val="Balloon Text"/>
    <w:basedOn w:val="Normal"/>
    <w:link w:val="TextedebullesCar"/>
    <w:uiPriority w:val="99"/>
    <w:semiHidden/>
    <w:unhideWhenUsed/>
    <w:rsid w:val="00257DA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7DA4"/>
    <w:rPr>
      <w:rFonts w:ascii="Tahoma" w:hAnsi="Tahoma" w:cs="Tahoma"/>
      <w:sz w:val="16"/>
      <w:szCs w:val="16"/>
    </w:rPr>
  </w:style>
  <w:style w:type="character" w:styleId="Lienhypertexte">
    <w:name w:val="Hyperlink"/>
    <w:basedOn w:val="Policepardfaut"/>
    <w:uiPriority w:val="99"/>
    <w:unhideWhenUsed/>
    <w:rsid w:val="00994BE6"/>
    <w:rPr>
      <w:color w:val="0000FF" w:themeColor="hyperlink"/>
      <w:u w:val="single"/>
    </w:rPr>
  </w:style>
  <w:style w:type="character" w:styleId="Mentionnonrsolue">
    <w:name w:val="Unresolved Mention"/>
    <w:basedOn w:val="Policepardfaut"/>
    <w:uiPriority w:val="99"/>
    <w:semiHidden/>
    <w:unhideWhenUsed/>
    <w:rsid w:val="00994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agogie-langues-anciennes@mail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alma.univ-lille.fr/nc/detail-event/seminaire-de-recherche-pedagogique-enseigner-le-latin-et-le-grec-comme-des-langues-viva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0971-88FF-4F9B-9BE6-C49CB056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837</Words>
  <Characters>4605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TURSIN</dc:creator>
  <cp:lastModifiedBy>Samuel TURSIN</cp:lastModifiedBy>
  <cp:revision>3</cp:revision>
  <dcterms:created xsi:type="dcterms:W3CDTF">2021-09-29T21:16:00Z</dcterms:created>
  <dcterms:modified xsi:type="dcterms:W3CDTF">2021-09-29T21:17:00Z</dcterms:modified>
</cp:coreProperties>
</file>